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8FD4E" w14:textId="0B17C0FC" w:rsidR="00050C56" w:rsidRPr="00F418C9" w:rsidRDefault="00D82B8E" w:rsidP="00FA1664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Raport z konsultacji publicznych i opiniowania </w:t>
      </w:r>
      <w:r w:rsidR="00C272F8" w:rsidRPr="00C272F8">
        <w:rPr>
          <w:rFonts w:cstheme="minorHAnsi"/>
          <w:b/>
          <w:bCs/>
          <w:iCs/>
          <w:sz w:val="24"/>
          <w:szCs w:val="24"/>
        </w:rPr>
        <w:t>projekt rozporządzenia Ministra Cyfryzacji w sprawie gwarantowanej dostępności oraz pojemności skrzynek doręczeń dla podmiotów publicznych oraz podmiotów niepublicznych</w:t>
      </w:r>
      <w:r w:rsidR="00C272F8" w:rsidRPr="00C272F8">
        <w:rPr>
          <w:rFonts w:cstheme="minorHAnsi"/>
          <w:b/>
          <w:sz w:val="24"/>
          <w:szCs w:val="24"/>
        </w:rPr>
        <w:t xml:space="preserve"> (Nr </w:t>
      </w:r>
      <w:r w:rsidR="00C272F8" w:rsidRPr="00C272F8">
        <w:rPr>
          <w:rFonts w:cstheme="minorHAnsi"/>
          <w:b/>
          <w:bCs/>
          <w:iCs/>
          <w:sz w:val="24"/>
          <w:szCs w:val="24"/>
        </w:rPr>
        <w:t>169)</w:t>
      </w:r>
    </w:p>
    <w:p w14:paraId="17E29E74" w14:textId="77777777" w:rsidR="00FA1664" w:rsidRPr="00F418C9" w:rsidRDefault="00FA1664" w:rsidP="00FA1664">
      <w:pPr>
        <w:jc w:val="center"/>
        <w:rPr>
          <w:rFonts w:cstheme="minorHAnsi"/>
          <w:sz w:val="24"/>
          <w:szCs w:val="24"/>
        </w:rPr>
      </w:pPr>
    </w:p>
    <w:p w14:paraId="2C1A7978" w14:textId="78C8B943" w:rsidR="00050C56" w:rsidRPr="00F418C9" w:rsidRDefault="00D51B5E" w:rsidP="00050C56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 Informacje ogólne</w:t>
      </w:r>
    </w:p>
    <w:p w14:paraId="0EB2CC29" w14:textId="64890462" w:rsidR="00050C56" w:rsidRPr="00F418C9" w:rsidRDefault="00050C56" w:rsidP="00FB188B">
      <w:pPr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>Niniejszy dokument stanowi wypełnienie obowiązku, zgodnie z którym organ</w:t>
      </w:r>
      <w:r w:rsidR="00FB188B" w:rsidRPr="00F418C9">
        <w:rPr>
          <w:rFonts w:cstheme="minorHAnsi"/>
          <w:sz w:val="24"/>
          <w:szCs w:val="24"/>
        </w:rPr>
        <w:t xml:space="preserve"> </w:t>
      </w:r>
      <w:r w:rsidRPr="00F418C9">
        <w:rPr>
          <w:rFonts w:cstheme="minorHAnsi"/>
          <w:sz w:val="24"/>
          <w:szCs w:val="24"/>
        </w:rPr>
        <w:t>wnioskujący sporządza raport z konsultacji obejmujący omówienie wyników przeprowadzonych konsult</w:t>
      </w:r>
      <w:r w:rsidR="00BB119D">
        <w:rPr>
          <w:rFonts w:cstheme="minorHAnsi"/>
          <w:sz w:val="24"/>
          <w:szCs w:val="24"/>
        </w:rPr>
        <w:t>acji publicznych i opiniowania.</w:t>
      </w:r>
    </w:p>
    <w:p w14:paraId="7C4EF305" w14:textId="611C3868" w:rsidR="00050C56" w:rsidRPr="00F418C9" w:rsidRDefault="00050C56" w:rsidP="00050C56">
      <w:pPr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>Na podstawie art. 5 ustawy z dnia 7 lipca 2005 r. o działalności lobbingowej w procesie stanowienia prawa projekto</w:t>
      </w:r>
      <w:r w:rsidR="001C2F52" w:rsidRPr="00F418C9">
        <w:rPr>
          <w:rFonts w:cstheme="minorHAnsi"/>
          <w:sz w:val="24"/>
          <w:szCs w:val="24"/>
        </w:rPr>
        <w:t>wane rozporządzenie zostało udostępnione</w:t>
      </w:r>
      <w:r w:rsidRPr="00F418C9">
        <w:rPr>
          <w:rFonts w:cstheme="minorHAnsi"/>
          <w:sz w:val="24"/>
          <w:szCs w:val="24"/>
        </w:rPr>
        <w:t xml:space="preserve"> na stronie podmiotowej Biuletynu Informacji Publicznej Ministerstwa Cyfryzacji oraz na stroni</w:t>
      </w:r>
      <w:r w:rsidR="00D82B8E">
        <w:rPr>
          <w:rFonts w:cstheme="minorHAnsi"/>
          <w:sz w:val="24"/>
          <w:szCs w:val="24"/>
        </w:rPr>
        <w:t>e Rządowego Centrum Legislacji.</w:t>
      </w:r>
    </w:p>
    <w:p w14:paraId="7BCDF482" w14:textId="6A0B162C" w:rsidR="00050C56" w:rsidRPr="00F418C9" w:rsidRDefault="00050C56" w:rsidP="00050C56">
      <w:pPr>
        <w:rPr>
          <w:rFonts w:cstheme="minorHAnsi"/>
          <w:sz w:val="24"/>
          <w:szCs w:val="24"/>
        </w:rPr>
      </w:pPr>
      <w:r w:rsidRPr="00F418C9">
        <w:rPr>
          <w:rFonts w:cstheme="minorHAnsi"/>
          <w:b/>
          <w:sz w:val="24"/>
          <w:szCs w:val="24"/>
        </w:rPr>
        <w:t>2. Prze</w:t>
      </w:r>
      <w:r w:rsidR="00D51B5E">
        <w:rPr>
          <w:rFonts w:cstheme="minorHAnsi"/>
          <w:b/>
          <w:sz w:val="24"/>
          <w:szCs w:val="24"/>
        </w:rPr>
        <w:t>bieg konsultacji</w:t>
      </w:r>
    </w:p>
    <w:p w14:paraId="159195E2" w14:textId="086D9803" w:rsidR="005B28D9" w:rsidRPr="00F418C9" w:rsidRDefault="00BB119D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I. </w:t>
      </w:r>
      <w:r w:rsidR="005B28D9" w:rsidRPr="00F418C9">
        <w:rPr>
          <w:rFonts w:asciiTheme="minorHAnsi" w:hAnsiTheme="minorHAnsi" w:cstheme="minorHAnsi"/>
          <w:color w:val="000000"/>
        </w:rPr>
        <w:t xml:space="preserve">W ramach </w:t>
      </w:r>
      <w:r w:rsidR="003A3CD3" w:rsidRPr="00F418C9">
        <w:rPr>
          <w:rFonts w:asciiTheme="minorHAnsi" w:hAnsiTheme="minorHAnsi" w:cstheme="minorHAnsi"/>
          <w:color w:val="000000"/>
        </w:rPr>
        <w:t xml:space="preserve">opiniowania </w:t>
      </w:r>
      <w:r w:rsidR="005B28D9" w:rsidRPr="00F418C9">
        <w:rPr>
          <w:rFonts w:asciiTheme="minorHAnsi" w:hAnsiTheme="minorHAnsi" w:cstheme="minorHAnsi"/>
          <w:color w:val="000000"/>
        </w:rPr>
        <w:t xml:space="preserve">projekt </w:t>
      </w:r>
      <w:r w:rsidR="00774C8A" w:rsidRPr="00F418C9">
        <w:rPr>
          <w:rFonts w:asciiTheme="minorHAnsi" w:hAnsiTheme="minorHAnsi" w:cstheme="minorHAnsi"/>
          <w:color w:val="000000"/>
        </w:rPr>
        <w:t>został przesłany</w:t>
      </w:r>
      <w:r>
        <w:rPr>
          <w:rFonts w:asciiTheme="minorHAnsi" w:hAnsiTheme="minorHAnsi" w:cstheme="minorHAnsi"/>
          <w:color w:val="000000"/>
        </w:rPr>
        <w:t xml:space="preserve"> na </w:t>
      </w:r>
      <w:r w:rsidR="00BD0719">
        <w:rPr>
          <w:rFonts w:asciiTheme="minorHAnsi" w:hAnsiTheme="minorHAnsi" w:cstheme="minorHAnsi"/>
          <w:color w:val="000000"/>
        </w:rPr>
        <w:t>10</w:t>
      </w:r>
      <w:r>
        <w:rPr>
          <w:rFonts w:asciiTheme="minorHAnsi" w:hAnsiTheme="minorHAnsi" w:cstheme="minorHAnsi"/>
          <w:color w:val="000000"/>
        </w:rPr>
        <w:t xml:space="preserve"> dni </w:t>
      </w:r>
      <w:r w:rsidR="00774C8A" w:rsidRPr="00F418C9">
        <w:rPr>
          <w:rFonts w:asciiTheme="minorHAnsi" w:hAnsiTheme="minorHAnsi" w:cstheme="minorHAnsi"/>
          <w:color w:val="000000"/>
        </w:rPr>
        <w:t>do</w:t>
      </w:r>
      <w:r w:rsidR="00FA1664" w:rsidRPr="00F418C9">
        <w:rPr>
          <w:rFonts w:asciiTheme="minorHAnsi" w:hAnsiTheme="minorHAnsi" w:cstheme="minorHAnsi"/>
          <w:color w:val="000000"/>
        </w:rPr>
        <w:t xml:space="preserve"> następujących podmiotów</w:t>
      </w:r>
      <w:r w:rsidR="00112384" w:rsidRPr="00F418C9">
        <w:rPr>
          <w:rFonts w:asciiTheme="minorHAnsi" w:hAnsiTheme="minorHAnsi" w:cstheme="minorHAnsi"/>
          <w:color w:val="000000"/>
        </w:rPr>
        <w:t>:</w:t>
      </w:r>
    </w:p>
    <w:p w14:paraId="21DACE13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Prezes Urzędu Komunikacji Elektronicznej</w:t>
      </w:r>
    </w:p>
    <w:p w14:paraId="622062D3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Prezes Urzędu Ochrony Konkurencji i Konsumentów</w:t>
      </w:r>
    </w:p>
    <w:p w14:paraId="0F7C3423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Naczelny Dyrektor Archiwów Państwowych</w:t>
      </w:r>
    </w:p>
    <w:p w14:paraId="2AE8E361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Prezes Urzędu Ochrony Danych Osobowych</w:t>
      </w:r>
    </w:p>
    <w:p w14:paraId="4367D0B6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Prezes Urzędu Zamówień Publicznych</w:t>
      </w:r>
    </w:p>
    <w:p w14:paraId="00BEB31B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Prezes Naczelnego Sądu Administracyjnego</w:t>
      </w:r>
    </w:p>
    <w:p w14:paraId="2EE9D63F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Szef Agencji Bezpieczeństwa Wewnętrznego</w:t>
      </w:r>
    </w:p>
    <w:p w14:paraId="5BCCF4A5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Szef Agencji Wywiadu</w:t>
      </w:r>
    </w:p>
    <w:p w14:paraId="60D24767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Szef Centralnego Biura Antykorupcyjnego</w:t>
      </w:r>
    </w:p>
    <w:p w14:paraId="7E0A1A53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Szef Służby Kontrwywiadu Wojskowego</w:t>
      </w:r>
    </w:p>
    <w:p w14:paraId="64A0CF2C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Szef Służby Wywiadu Wojskowego</w:t>
      </w:r>
    </w:p>
    <w:p w14:paraId="0838AFEB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>Wojewoda Dolnośląski</w:t>
      </w:r>
    </w:p>
    <w:p w14:paraId="01C17130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 Kujawsko-Pomorski </w:t>
      </w:r>
    </w:p>
    <w:p w14:paraId="751FF55B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 Lubelski </w:t>
      </w:r>
    </w:p>
    <w:p w14:paraId="6614A9BB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 Lubuski </w:t>
      </w:r>
    </w:p>
    <w:p w14:paraId="41C05DA6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Łódzki </w:t>
      </w:r>
    </w:p>
    <w:p w14:paraId="0BD586AB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Małopolski </w:t>
      </w:r>
    </w:p>
    <w:p w14:paraId="199C0E0A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Mazowiecki </w:t>
      </w:r>
    </w:p>
    <w:p w14:paraId="12D346CA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Śląski </w:t>
      </w:r>
    </w:p>
    <w:p w14:paraId="4E4F6CDA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Świętokrzyski </w:t>
      </w:r>
    </w:p>
    <w:p w14:paraId="580FCD3F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Opolski </w:t>
      </w:r>
    </w:p>
    <w:p w14:paraId="7141D2DC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Podkarpacki </w:t>
      </w:r>
    </w:p>
    <w:p w14:paraId="05432E1F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Podlaski </w:t>
      </w:r>
    </w:p>
    <w:p w14:paraId="7D4D19D3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Pomorski </w:t>
      </w:r>
    </w:p>
    <w:p w14:paraId="11E4A732" w14:textId="77777777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D0719">
        <w:rPr>
          <w:rFonts w:eastAsia="Times New Roman" w:cstheme="minorHAnsi"/>
          <w:sz w:val="24"/>
          <w:szCs w:val="24"/>
          <w:lang w:eastAsia="pl-PL"/>
        </w:rPr>
        <w:t xml:space="preserve">Wojewoda Warmińsko-Mazurski </w:t>
      </w:r>
    </w:p>
    <w:p w14:paraId="0BEEE03D" w14:textId="744B80E2" w:rsidR="00FD07B8" w:rsidRPr="00BD0719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Wojewoda</w:t>
      </w:r>
      <w:r w:rsidRPr="00BD0719">
        <w:rPr>
          <w:rFonts w:eastAsia="Times New Roman" w:cstheme="minorHAnsi"/>
          <w:sz w:val="24"/>
          <w:szCs w:val="24"/>
          <w:lang w:eastAsia="pl-PL"/>
        </w:rPr>
        <w:t xml:space="preserve"> Wielkopolski </w:t>
      </w:r>
    </w:p>
    <w:p w14:paraId="661D4B0A" w14:textId="7B119C91" w:rsidR="00FD07B8" w:rsidRDefault="003A7F0D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Wojewoda</w:t>
      </w:r>
      <w:r w:rsidRPr="00BD0719">
        <w:rPr>
          <w:rFonts w:eastAsia="Times New Roman" w:cstheme="minorHAnsi"/>
          <w:sz w:val="24"/>
          <w:szCs w:val="24"/>
          <w:lang w:eastAsia="pl-PL"/>
        </w:rPr>
        <w:t xml:space="preserve"> Zachodniopomorski</w:t>
      </w:r>
    </w:p>
    <w:p w14:paraId="7F2C1852" w14:textId="5F7BE69E" w:rsidR="008E62F4" w:rsidRPr="00BD0719" w:rsidRDefault="008E62F4" w:rsidP="00B7378C">
      <w:pPr>
        <w:numPr>
          <w:ilvl w:val="0"/>
          <w:numId w:val="19"/>
        </w:numPr>
        <w:spacing w:after="0"/>
        <w:rPr>
          <w:rFonts w:eastAsia="Times New Roman" w:cstheme="minorHAnsi"/>
          <w:sz w:val="24"/>
          <w:szCs w:val="24"/>
          <w:lang w:eastAsia="pl-PL"/>
        </w:rPr>
      </w:pPr>
      <w:r>
        <w:t>Narodowy Bank Polski</w:t>
      </w:r>
      <w:bookmarkStart w:id="0" w:name="_GoBack"/>
      <w:bookmarkEnd w:id="0"/>
    </w:p>
    <w:p w14:paraId="7305159F" w14:textId="77777777" w:rsidR="00BD0719" w:rsidRPr="00BD0719" w:rsidRDefault="00BD0719" w:rsidP="00BD0719">
      <w:pPr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44998227" w14:textId="4ECED17A" w:rsidR="00BB119D" w:rsidRPr="00F418C9" w:rsidRDefault="00BB119D" w:rsidP="00BB119D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II. </w:t>
      </w:r>
      <w:r w:rsidRPr="00F418C9">
        <w:rPr>
          <w:rFonts w:asciiTheme="minorHAnsi" w:hAnsiTheme="minorHAnsi" w:cstheme="minorHAnsi"/>
          <w:color w:val="000000"/>
        </w:rPr>
        <w:t xml:space="preserve">W ramach </w:t>
      </w:r>
      <w:r w:rsidRPr="00BB119D">
        <w:rPr>
          <w:rFonts w:asciiTheme="minorHAnsi" w:hAnsiTheme="minorHAnsi" w:cstheme="minorHAnsi"/>
          <w:color w:val="000000"/>
        </w:rPr>
        <w:t>konsultacji publicznych</w:t>
      </w:r>
      <w:r w:rsidRPr="00F418C9">
        <w:rPr>
          <w:rFonts w:asciiTheme="minorHAnsi" w:hAnsiTheme="minorHAnsi" w:cstheme="minorHAnsi"/>
          <w:color w:val="000000"/>
        </w:rPr>
        <w:t xml:space="preserve"> projekt został przesłany </w:t>
      </w:r>
      <w:r>
        <w:rPr>
          <w:rFonts w:asciiTheme="minorHAnsi" w:hAnsiTheme="minorHAnsi" w:cstheme="minorHAnsi"/>
          <w:color w:val="000000"/>
        </w:rPr>
        <w:t xml:space="preserve">na </w:t>
      </w:r>
      <w:r w:rsidR="00AD2595">
        <w:rPr>
          <w:rFonts w:asciiTheme="minorHAnsi" w:hAnsiTheme="minorHAnsi" w:cstheme="minorHAnsi"/>
          <w:color w:val="000000"/>
        </w:rPr>
        <w:t>10</w:t>
      </w:r>
      <w:r>
        <w:rPr>
          <w:rFonts w:asciiTheme="minorHAnsi" w:hAnsiTheme="minorHAnsi" w:cstheme="minorHAnsi"/>
          <w:color w:val="000000"/>
        </w:rPr>
        <w:t xml:space="preserve"> dni </w:t>
      </w:r>
      <w:r w:rsidRPr="00F418C9">
        <w:rPr>
          <w:rFonts w:asciiTheme="minorHAnsi" w:hAnsiTheme="minorHAnsi" w:cstheme="minorHAnsi"/>
          <w:color w:val="000000"/>
        </w:rPr>
        <w:t>do następujących podmiotów:</w:t>
      </w:r>
    </w:p>
    <w:p w14:paraId="0A274633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Stowarzyszenie Archiwistów Polskich</w:t>
      </w:r>
    </w:p>
    <w:p w14:paraId="1FBCC568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2)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Instytut Logistyki i Magazynowania</w:t>
      </w:r>
    </w:p>
    <w:p w14:paraId="27EDE712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3)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Poczta Polska</w:t>
      </w:r>
    </w:p>
    <w:p w14:paraId="6CC67188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4)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Polska Izba Informatyki i Telekomunikacji</w:t>
      </w:r>
    </w:p>
    <w:p w14:paraId="13FE6000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6)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Krajowa Izba Gospodarcza Elektroniki</w:t>
      </w:r>
    </w:p>
    <w:p w14:paraId="20B5A191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7)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Krajowa Izba Gospodarcza Elektroniki i Telekomunikacji</w:t>
      </w:r>
    </w:p>
    <w:p w14:paraId="7303E8AD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8)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Polska Izba Komunikacji Elektronicznej</w:t>
      </w:r>
    </w:p>
    <w:p w14:paraId="78022D1B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9)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Krajowa Izba Gospodarcza</w:t>
      </w:r>
    </w:p>
    <w:p w14:paraId="0689532F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10)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Krajowa Izba Komunikacji Internetowej</w:t>
      </w:r>
    </w:p>
    <w:p w14:paraId="5D48D49D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11)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Polska Izba Handlu</w:t>
      </w:r>
    </w:p>
    <w:p w14:paraId="4E11811F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12)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Fundacja Bezpieczna Cyberprzestrzeń</w:t>
      </w:r>
    </w:p>
    <w:p w14:paraId="1093664B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13)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Polskie Towarzystwo Informatyczne</w:t>
      </w:r>
    </w:p>
    <w:p w14:paraId="01C81188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14)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Stowarzyszenie Inżynierów Telekomunikacji</w:t>
      </w:r>
    </w:p>
    <w:p w14:paraId="7355506A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15)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Fundacja Panoptykon</w:t>
      </w:r>
    </w:p>
    <w:p w14:paraId="2AFAF3B0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16)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Stowarzyszenie Naukowe Centrum Prawno – Informatyczne</w:t>
      </w:r>
    </w:p>
    <w:p w14:paraId="7863772F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17)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Ogólnopolski Związek Pracodawców Niepublicznych Operatorów Pocztowych</w:t>
      </w:r>
    </w:p>
    <w:p w14:paraId="1AE03485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18)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Centrum Badań Problemów Prawnych i Ekonomicznych Komunikacji Elektronicznej Uniwersytetu Wrocławskiego</w:t>
      </w:r>
    </w:p>
    <w:p w14:paraId="264BA244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19)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Polski Komitet Normalizacyjny</w:t>
      </w:r>
    </w:p>
    <w:p w14:paraId="3E9CDD46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20)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Związek Importerów i Producentów Sprzętu Elektrycznego i Elektronicznego – ZIPSEE Cyfrowa</w:t>
      </w:r>
    </w:p>
    <w:p w14:paraId="22E1A6B7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21)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Krajowa Rada Komornicza</w:t>
      </w:r>
    </w:p>
    <w:p w14:paraId="45C57D9E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22)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Krajowa Rada Notarialna</w:t>
      </w:r>
    </w:p>
    <w:p w14:paraId="4470E6A6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23)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Krajowa Rada Radców Prawnych</w:t>
      </w:r>
    </w:p>
    <w:p w14:paraId="3A4D3663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24)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Krajowa Federacja Konsumentów</w:t>
      </w:r>
    </w:p>
    <w:p w14:paraId="3F2C43C4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25)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Polska Wytwórnia Papierów Wartościowych S.A.</w:t>
      </w:r>
    </w:p>
    <w:p w14:paraId="20307AD7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26)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Krajowa Izba Rozliczeniowa S.A.</w:t>
      </w:r>
    </w:p>
    <w:p w14:paraId="7EE54C43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27)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Enigma Systemy Ochrony Informacji Sp. z o.o.</w:t>
      </w:r>
    </w:p>
    <w:p w14:paraId="3DABB574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28)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EuroCert Sp. z o.o.</w:t>
      </w:r>
    </w:p>
    <w:p w14:paraId="7F5CFA94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val="en-GB" w:eastAsia="pl-PL"/>
        </w:rPr>
      </w:pPr>
      <w:r w:rsidRPr="00E74887">
        <w:rPr>
          <w:rFonts w:eastAsia="Times New Roman" w:cstheme="minorHAnsi"/>
          <w:sz w:val="24"/>
          <w:szCs w:val="24"/>
          <w:lang w:val="en-GB" w:eastAsia="pl-PL"/>
        </w:rPr>
        <w:t>29)</w:t>
      </w:r>
      <w:r w:rsidRPr="00E74887">
        <w:rPr>
          <w:rFonts w:eastAsia="Times New Roman" w:cstheme="minorHAnsi"/>
          <w:sz w:val="24"/>
          <w:szCs w:val="24"/>
          <w:lang w:val="en-GB" w:eastAsia="pl-PL"/>
        </w:rPr>
        <w:tab/>
        <w:t>Asseco Data Systems S.A.</w:t>
      </w:r>
    </w:p>
    <w:p w14:paraId="2D05FEFF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30)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Madkom S.A.</w:t>
      </w:r>
    </w:p>
    <w:p w14:paraId="5A144098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31)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 xml:space="preserve">Orange Polska S.A. </w:t>
      </w:r>
    </w:p>
    <w:p w14:paraId="55FEFDC1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32)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T-Mobile Polska S.A.</w:t>
      </w:r>
    </w:p>
    <w:p w14:paraId="3259BC97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33)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P4 Sp z o.o.</w:t>
      </w:r>
    </w:p>
    <w:p w14:paraId="37A4C0C7" w14:textId="77777777" w:rsidR="00E74887" w:rsidRPr="00E74887" w:rsidRDefault="00E74887" w:rsidP="00E74887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  <w:r w:rsidRPr="00E74887">
        <w:rPr>
          <w:rFonts w:eastAsia="Times New Roman" w:cstheme="minorHAnsi"/>
          <w:sz w:val="24"/>
          <w:szCs w:val="24"/>
          <w:lang w:eastAsia="pl-PL"/>
        </w:rPr>
        <w:t>34)</w:t>
      </w:r>
      <w:r w:rsidRPr="00E74887">
        <w:rPr>
          <w:rFonts w:eastAsia="Times New Roman" w:cstheme="minorHAnsi"/>
          <w:sz w:val="24"/>
          <w:szCs w:val="24"/>
          <w:lang w:eastAsia="pl-PL"/>
        </w:rPr>
        <w:tab/>
        <w:t>Polkomtel Sp. z o.o.</w:t>
      </w:r>
    </w:p>
    <w:p w14:paraId="1C21A909" w14:textId="77777777" w:rsidR="00BB119D" w:rsidRPr="00E255F9" w:rsidRDefault="00BB119D" w:rsidP="00E26D15">
      <w:pPr>
        <w:pStyle w:val="Akapitzlist"/>
        <w:spacing w:after="0"/>
        <w:ind w:left="0"/>
        <w:rPr>
          <w:rFonts w:eastAsia="Times New Roman" w:cstheme="minorHAnsi"/>
          <w:sz w:val="24"/>
          <w:szCs w:val="24"/>
          <w:lang w:eastAsia="pl-PL"/>
        </w:rPr>
      </w:pPr>
    </w:p>
    <w:p w14:paraId="605ECA48" w14:textId="412C36BC" w:rsidR="00E73061" w:rsidRPr="00E73061" w:rsidRDefault="00E73061" w:rsidP="00E73061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E73061">
        <w:rPr>
          <w:rFonts w:eastAsia="Times New Roman" w:cstheme="minorHAnsi"/>
          <w:sz w:val="24"/>
          <w:szCs w:val="24"/>
          <w:lang w:eastAsia="pl-PL"/>
        </w:rPr>
        <w:t xml:space="preserve">III. </w:t>
      </w:r>
      <w:r w:rsidR="00BB119D" w:rsidRPr="00BB119D">
        <w:rPr>
          <w:rFonts w:eastAsia="Times New Roman" w:cstheme="minorHAnsi"/>
          <w:sz w:val="24"/>
          <w:szCs w:val="24"/>
          <w:lang w:eastAsia="pl-PL"/>
        </w:rPr>
        <w:t xml:space="preserve">W ramach konsultacji </w:t>
      </w:r>
      <w:r w:rsidR="00BB119D" w:rsidRPr="00E73061">
        <w:rPr>
          <w:rFonts w:eastAsia="Times New Roman" w:cstheme="minorHAnsi"/>
          <w:sz w:val="24"/>
          <w:szCs w:val="24"/>
          <w:lang w:eastAsia="pl-PL"/>
        </w:rPr>
        <w:t>publicznych z organizacjami pracodawców i pracowników</w:t>
      </w:r>
      <w:r w:rsidR="00BB119D" w:rsidRPr="00BB119D">
        <w:rPr>
          <w:rFonts w:eastAsia="Times New Roman" w:cstheme="minorHAnsi"/>
          <w:sz w:val="24"/>
          <w:szCs w:val="24"/>
          <w:lang w:eastAsia="pl-PL"/>
        </w:rPr>
        <w:t xml:space="preserve"> projekt został przesłany na </w:t>
      </w:r>
      <w:r w:rsidR="00BB119D">
        <w:rPr>
          <w:rFonts w:eastAsia="Times New Roman" w:cstheme="minorHAnsi"/>
          <w:sz w:val="24"/>
          <w:szCs w:val="24"/>
          <w:lang w:eastAsia="pl-PL"/>
        </w:rPr>
        <w:t>21 dni do następujących podmiotów</w:t>
      </w:r>
      <w:r w:rsidRPr="00E73061">
        <w:rPr>
          <w:rFonts w:eastAsia="Times New Roman" w:cstheme="minorHAnsi"/>
          <w:sz w:val="24"/>
          <w:szCs w:val="24"/>
          <w:lang w:eastAsia="pl-PL"/>
        </w:rPr>
        <w:t>:</w:t>
      </w:r>
    </w:p>
    <w:p w14:paraId="77B83960" w14:textId="66BCA642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lastRenderedPageBreak/>
        <w:t>Rada Dialogu Społecznego</w:t>
      </w:r>
    </w:p>
    <w:p w14:paraId="717E04EE" w14:textId="1B73CADD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t>Business Centre Club – Związek Pracodawców</w:t>
      </w:r>
    </w:p>
    <w:p w14:paraId="0A901A05" w14:textId="59C5B65C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t>Niezależny Samorządny Związek Zawodowy „Solidarność”</w:t>
      </w:r>
    </w:p>
    <w:p w14:paraId="5542F986" w14:textId="4C01B6CB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t>Ogólnopolskie Porozumienie Związków Zawodowych</w:t>
      </w:r>
    </w:p>
    <w:p w14:paraId="056B5D01" w14:textId="2ABD54CE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t>Forum Związków Zawodowych</w:t>
      </w:r>
    </w:p>
    <w:p w14:paraId="02DBA23E" w14:textId="6FD6A633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t>Pracodawcy Rzeczypospolitej Polskiej</w:t>
      </w:r>
    </w:p>
    <w:p w14:paraId="3EEBE4D0" w14:textId="13FD0C96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t>Konfederacja Lewiatan</w:t>
      </w:r>
    </w:p>
    <w:p w14:paraId="7AB5D38E" w14:textId="09279DD0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t>Związek Przedsiębiorców i Pracodawców</w:t>
      </w:r>
    </w:p>
    <w:p w14:paraId="2C81F72F" w14:textId="01E335FC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t>Związek Rzemiosła Polskiego</w:t>
      </w:r>
    </w:p>
    <w:p w14:paraId="10F47EA6" w14:textId="00925A04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t>Związek Przedsiębiorców i Pracodawców</w:t>
      </w:r>
    </w:p>
    <w:p w14:paraId="5F6C3625" w14:textId="0EC21E32" w:rsidR="00D8516D" w:rsidRPr="00073D9C" w:rsidRDefault="00D8516D" w:rsidP="00073D9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73D9C">
        <w:rPr>
          <w:rFonts w:eastAsia="Times New Roman" w:cstheme="minorHAnsi"/>
          <w:sz w:val="24"/>
          <w:szCs w:val="24"/>
          <w:lang w:eastAsia="pl-PL"/>
        </w:rPr>
        <w:t>Forum Związków Zawodowych</w:t>
      </w:r>
    </w:p>
    <w:p w14:paraId="47AC7AE7" w14:textId="77777777" w:rsidR="00D8516D" w:rsidRDefault="00D8516D" w:rsidP="00D8516D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E329F97" w14:textId="301996D1" w:rsidR="00774C8A" w:rsidRPr="00741DE3" w:rsidRDefault="00741DE3" w:rsidP="00D8516D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741DE3">
        <w:rPr>
          <w:rFonts w:cstheme="minorHAnsi"/>
          <w:bCs/>
          <w:sz w:val="24"/>
          <w:szCs w:val="24"/>
        </w:rPr>
        <w:t xml:space="preserve">IV. </w:t>
      </w:r>
      <w:r w:rsidR="00774C8A" w:rsidRPr="00741DE3">
        <w:rPr>
          <w:rFonts w:cstheme="minorHAnsi"/>
          <w:bCs/>
          <w:sz w:val="24"/>
          <w:szCs w:val="24"/>
        </w:rPr>
        <w:t>Uwagi zgłosiły następujące podmioty:</w:t>
      </w:r>
    </w:p>
    <w:p w14:paraId="47C9C43C" w14:textId="09C86F21" w:rsidR="004B761B" w:rsidRPr="004B761B" w:rsidRDefault="004B761B" w:rsidP="004B761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B761B">
        <w:rPr>
          <w:rFonts w:cstheme="minorHAnsi"/>
          <w:sz w:val="24"/>
          <w:szCs w:val="24"/>
        </w:rPr>
        <w:t>Prezes Urzędu Komunikacji Elektronicznej</w:t>
      </w:r>
    </w:p>
    <w:p w14:paraId="227A093E" w14:textId="07384BD7" w:rsidR="004B761B" w:rsidRPr="004B761B" w:rsidRDefault="004B761B" w:rsidP="004B761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B761B">
        <w:rPr>
          <w:rFonts w:cstheme="minorHAnsi"/>
          <w:sz w:val="24"/>
          <w:szCs w:val="24"/>
        </w:rPr>
        <w:t xml:space="preserve">Prezes </w:t>
      </w:r>
      <w:r w:rsidR="00741DE3">
        <w:rPr>
          <w:rFonts w:cstheme="minorHAnsi"/>
          <w:sz w:val="24"/>
          <w:szCs w:val="24"/>
        </w:rPr>
        <w:t>Urzędu Ochrony Danych Osobowych</w:t>
      </w:r>
    </w:p>
    <w:p w14:paraId="3EC14207" w14:textId="535BB9A6" w:rsidR="004B761B" w:rsidRPr="004B761B" w:rsidRDefault="004B761B" w:rsidP="004B761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B761B">
        <w:rPr>
          <w:rFonts w:cstheme="minorHAnsi"/>
          <w:sz w:val="24"/>
          <w:szCs w:val="24"/>
        </w:rPr>
        <w:t>Prezes Na</w:t>
      </w:r>
      <w:r w:rsidR="00741DE3">
        <w:rPr>
          <w:rFonts w:cstheme="minorHAnsi"/>
          <w:sz w:val="24"/>
          <w:szCs w:val="24"/>
        </w:rPr>
        <w:t>czelnego Sądu Administracyjnego</w:t>
      </w:r>
    </w:p>
    <w:p w14:paraId="67A3BA7F" w14:textId="00EDE7F4" w:rsidR="00E73061" w:rsidRPr="00F418C9" w:rsidRDefault="00E73061" w:rsidP="00E255F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 xml:space="preserve">Sieć Badawcza Łukasiewicz – Instytut Logistyki i Magazynowania </w:t>
      </w:r>
    </w:p>
    <w:p w14:paraId="7FF92520" w14:textId="41E83C87" w:rsidR="00B0169F" w:rsidRDefault="00B0169F" w:rsidP="00344915">
      <w:pPr>
        <w:pStyle w:val="Akapitzlist"/>
        <w:numPr>
          <w:ilvl w:val="0"/>
          <w:numId w:val="10"/>
        </w:numPr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Narodowy </w:t>
      </w:r>
      <w:r w:rsidRPr="00B0169F">
        <w:rPr>
          <w:rFonts w:eastAsia="Times New Roman" w:cstheme="minorHAnsi"/>
          <w:sz w:val="24"/>
          <w:szCs w:val="24"/>
          <w:lang w:eastAsia="pl-PL"/>
        </w:rPr>
        <w:t>Bank</w:t>
      </w:r>
      <w:r>
        <w:rPr>
          <w:rFonts w:eastAsia="Times New Roman" w:cstheme="minorHAnsi"/>
          <w:sz w:val="24"/>
          <w:szCs w:val="24"/>
          <w:lang w:eastAsia="pl-PL"/>
        </w:rPr>
        <w:t xml:space="preserve"> Polski</w:t>
      </w:r>
    </w:p>
    <w:p w14:paraId="61BA7F58" w14:textId="5E674525" w:rsidR="00344915" w:rsidRPr="00AD2595" w:rsidRDefault="00344915" w:rsidP="00344915">
      <w:pPr>
        <w:pStyle w:val="Akapitzlist"/>
        <w:numPr>
          <w:ilvl w:val="0"/>
          <w:numId w:val="10"/>
        </w:numPr>
        <w:rPr>
          <w:rFonts w:eastAsia="Times New Roman" w:cstheme="minorHAnsi"/>
          <w:sz w:val="24"/>
          <w:szCs w:val="24"/>
          <w:lang w:eastAsia="pl-PL"/>
        </w:rPr>
      </w:pPr>
      <w:r w:rsidRPr="00AD2595">
        <w:rPr>
          <w:rFonts w:eastAsia="Times New Roman" w:cstheme="minorHAnsi"/>
          <w:sz w:val="24"/>
          <w:szCs w:val="24"/>
          <w:lang w:eastAsia="pl-PL"/>
        </w:rPr>
        <w:t>Poczta Polska</w:t>
      </w:r>
      <w:r w:rsidR="00FC1947">
        <w:rPr>
          <w:rFonts w:eastAsia="Times New Roman" w:cstheme="minorHAnsi"/>
          <w:sz w:val="24"/>
          <w:szCs w:val="24"/>
          <w:lang w:eastAsia="pl-PL"/>
        </w:rPr>
        <w:t xml:space="preserve"> S.A.</w:t>
      </w:r>
    </w:p>
    <w:p w14:paraId="7B9FF825" w14:textId="5888C752" w:rsidR="00344915" w:rsidRDefault="00344915" w:rsidP="00AD259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344915">
        <w:rPr>
          <w:rFonts w:cstheme="minorHAnsi"/>
          <w:sz w:val="24"/>
          <w:szCs w:val="24"/>
        </w:rPr>
        <w:t>Polska Wytwórnia Papierów Wartościowych S.A.</w:t>
      </w:r>
    </w:p>
    <w:p w14:paraId="26D603B1" w14:textId="2723B883" w:rsidR="00073D9C" w:rsidRPr="004B761B" w:rsidRDefault="00741DE3" w:rsidP="00073D9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Wojewoda świętokrzyski</w:t>
      </w:r>
    </w:p>
    <w:p w14:paraId="7B5870B1" w14:textId="2A011548" w:rsidR="00073D9C" w:rsidRPr="004B761B" w:rsidRDefault="00741DE3" w:rsidP="00073D9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Wojewoda Podlaski</w:t>
      </w:r>
    </w:p>
    <w:p w14:paraId="465B045D" w14:textId="4EFE8C47" w:rsidR="00AD2595" w:rsidRDefault="00FC1947" w:rsidP="00AD259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Obywatel </w:t>
      </w:r>
      <w:r w:rsidR="00AD2595" w:rsidRPr="00AD2595">
        <w:rPr>
          <w:rFonts w:cstheme="minorHAnsi"/>
          <w:sz w:val="24"/>
          <w:szCs w:val="24"/>
        </w:rPr>
        <w:t>J</w:t>
      </w:r>
      <w:r>
        <w:rPr>
          <w:rFonts w:cstheme="minorHAnsi"/>
          <w:sz w:val="24"/>
          <w:szCs w:val="24"/>
        </w:rPr>
        <w:t>.</w:t>
      </w:r>
      <w:r w:rsidR="00AD2595" w:rsidRPr="00AD2595">
        <w:rPr>
          <w:rFonts w:cstheme="minorHAnsi"/>
          <w:sz w:val="24"/>
          <w:szCs w:val="24"/>
        </w:rPr>
        <w:t>J</w:t>
      </w:r>
      <w:r>
        <w:rPr>
          <w:rFonts w:cstheme="minorHAnsi"/>
          <w:sz w:val="24"/>
          <w:szCs w:val="24"/>
        </w:rPr>
        <w:t>.</w:t>
      </w:r>
    </w:p>
    <w:p w14:paraId="65D68B19" w14:textId="2109D0F2" w:rsidR="00FA1664" w:rsidRDefault="00FC1947" w:rsidP="00774C8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C1947">
        <w:rPr>
          <w:rFonts w:cstheme="minorHAnsi"/>
          <w:sz w:val="24"/>
          <w:szCs w:val="24"/>
        </w:rPr>
        <w:t xml:space="preserve">Obywatel </w:t>
      </w:r>
      <w:r>
        <w:rPr>
          <w:rFonts w:cstheme="minorHAnsi"/>
          <w:sz w:val="24"/>
          <w:szCs w:val="24"/>
        </w:rPr>
        <w:t>P.S</w:t>
      </w:r>
      <w:r w:rsidRPr="00FC1947">
        <w:rPr>
          <w:rFonts w:cstheme="minorHAnsi"/>
          <w:sz w:val="24"/>
          <w:szCs w:val="24"/>
        </w:rPr>
        <w:t>.</w:t>
      </w:r>
    </w:p>
    <w:p w14:paraId="10A1999A" w14:textId="77777777" w:rsidR="00FC1947" w:rsidRPr="00FC1947" w:rsidRDefault="00FC1947" w:rsidP="00FC1947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0314FE" w14:textId="77777777" w:rsidR="00050C56" w:rsidRPr="00F418C9" w:rsidRDefault="00050C56" w:rsidP="003721FC">
      <w:pPr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b/>
          <w:sz w:val="24"/>
          <w:szCs w:val="24"/>
        </w:rPr>
        <w:t>3.</w:t>
      </w:r>
      <w:r w:rsidRPr="00F418C9">
        <w:rPr>
          <w:rFonts w:cstheme="minorHAnsi"/>
          <w:sz w:val="24"/>
          <w:szCs w:val="24"/>
        </w:rPr>
        <w:t xml:space="preserve"> </w:t>
      </w:r>
      <w:r w:rsidRPr="00F418C9">
        <w:rPr>
          <w:rFonts w:cstheme="minorHAnsi"/>
          <w:b/>
          <w:sz w:val="24"/>
          <w:szCs w:val="24"/>
        </w:rPr>
        <w:t>Omówienie wyników przeprowadzonych konsultacji publicznych i opiniowania</w:t>
      </w:r>
      <w:r w:rsidRPr="00F418C9">
        <w:rPr>
          <w:rFonts w:cstheme="minorHAnsi"/>
          <w:sz w:val="24"/>
          <w:szCs w:val="24"/>
        </w:rPr>
        <w:t xml:space="preserve"> </w:t>
      </w:r>
    </w:p>
    <w:p w14:paraId="120FEE27" w14:textId="68B51C5D" w:rsidR="00F418C9" w:rsidRDefault="006A13EA" w:rsidP="00F418C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Zgłoszone uwagi zostały przeanalizowane</w:t>
      </w:r>
      <w:r w:rsidR="00CC6EAB">
        <w:rPr>
          <w:rFonts w:cstheme="minorHAnsi"/>
          <w:sz w:val="24"/>
          <w:szCs w:val="24"/>
        </w:rPr>
        <w:t xml:space="preserve"> i w większości uwzględnione w projekcie</w:t>
      </w:r>
      <w:r>
        <w:rPr>
          <w:rFonts w:cstheme="minorHAnsi"/>
          <w:sz w:val="24"/>
          <w:szCs w:val="24"/>
        </w:rPr>
        <w:t xml:space="preserve">. </w:t>
      </w:r>
      <w:r w:rsidR="00760836">
        <w:rPr>
          <w:rFonts w:cstheme="minorHAnsi"/>
          <w:sz w:val="24"/>
          <w:szCs w:val="24"/>
        </w:rPr>
        <w:t>W</w:t>
      </w:r>
      <w:r w:rsidR="00BB119D">
        <w:rPr>
          <w:rFonts w:cstheme="minorHAnsi"/>
          <w:sz w:val="24"/>
          <w:szCs w:val="24"/>
        </w:rPr>
        <w:t> </w:t>
      </w:r>
      <w:r w:rsidR="00F418C9" w:rsidRPr="00F418C9">
        <w:rPr>
          <w:rFonts w:cstheme="minorHAnsi"/>
          <w:sz w:val="24"/>
          <w:szCs w:val="24"/>
        </w:rPr>
        <w:t xml:space="preserve">projekcie zaktualizowano </w:t>
      </w:r>
      <w:r>
        <w:rPr>
          <w:rFonts w:cstheme="minorHAnsi"/>
          <w:sz w:val="24"/>
          <w:szCs w:val="24"/>
        </w:rPr>
        <w:t xml:space="preserve">m. in. </w:t>
      </w:r>
      <w:r w:rsidR="00B0169F">
        <w:rPr>
          <w:rFonts w:cstheme="minorHAnsi"/>
          <w:sz w:val="24"/>
          <w:szCs w:val="24"/>
        </w:rPr>
        <w:t xml:space="preserve">wartości odnoszące się do dostępności i pojemności skrzynek </w:t>
      </w:r>
      <w:r w:rsidR="00E3519D">
        <w:rPr>
          <w:rFonts w:cstheme="minorHAnsi"/>
          <w:sz w:val="24"/>
          <w:szCs w:val="24"/>
        </w:rPr>
        <w:t>doręczeń.</w:t>
      </w:r>
      <w:r w:rsidR="00B0169F">
        <w:rPr>
          <w:rFonts w:cstheme="minorHAnsi"/>
          <w:sz w:val="24"/>
          <w:szCs w:val="24"/>
        </w:rPr>
        <w:t xml:space="preserve"> </w:t>
      </w:r>
      <w:r w:rsidR="00E3519D">
        <w:rPr>
          <w:rFonts w:cstheme="minorHAnsi"/>
          <w:sz w:val="24"/>
          <w:szCs w:val="24"/>
        </w:rPr>
        <w:t>P</w:t>
      </w:r>
      <w:r w:rsidR="00E3519D" w:rsidRPr="00E3519D">
        <w:rPr>
          <w:rFonts w:cstheme="minorHAnsi"/>
          <w:sz w:val="24"/>
          <w:szCs w:val="24"/>
        </w:rPr>
        <w:t>odwyższ</w:t>
      </w:r>
      <w:r w:rsidR="00E3519D">
        <w:rPr>
          <w:rFonts w:cstheme="minorHAnsi"/>
          <w:sz w:val="24"/>
          <w:szCs w:val="24"/>
        </w:rPr>
        <w:t xml:space="preserve">ona została </w:t>
      </w:r>
      <w:r w:rsidR="00E3519D" w:rsidRPr="00E3519D">
        <w:rPr>
          <w:rFonts w:cstheme="minorHAnsi"/>
          <w:sz w:val="24"/>
          <w:szCs w:val="24"/>
        </w:rPr>
        <w:t>pojemności skrzyn</w:t>
      </w:r>
      <w:r w:rsidR="00FA63E1">
        <w:rPr>
          <w:rFonts w:cstheme="minorHAnsi"/>
          <w:sz w:val="24"/>
          <w:szCs w:val="24"/>
        </w:rPr>
        <w:t>ki dla podmiotów publicznych do</w:t>
      </w:r>
      <w:r w:rsidR="00E3519D" w:rsidRPr="00E3519D">
        <w:rPr>
          <w:rFonts w:cstheme="minorHAnsi"/>
          <w:sz w:val="24"/>
          <w:szCs w:val="24"/>
        </w:rPr>
        <w:t xml:space="preserve"> 30 GB</w:t>
      </w:r>
      <w:r w:rsidR="00E3519D">
        <w:rPr>
          <w:rFonts w:cstheme="minorHAnsi"/>
          <w:sz w:val="24"/>
          <w:szCs w:val="24"/>
        </w:rPr>
        <w:t xml:space="preserve">, zaś </w:t>
      </w:r>
      <w:r w:rsidR="00E3519D" w:rsidRPr="00E3519D">
        <w:rPr>
          <w:rFonts w:cstheme="minorHAnsi"/>
          <w:sz w:val="24"/>
          <w:szCs w:val="24"/>
        </w:rPr>
        <w:t>dla podmiot</w:t>
      </w:r>
      <w:r w:rsidR="00B7378C">
        <w:rPr>
          <w:rFonts w:cstheme="minorHAnsi"/>
          <w:sz w:val="24"/>
          <w:szCs w:val="24"/>
        </w:rPr>
        <w:t>ów niepublicznych do</w:t>
      </w:r>
      <w:r w:rsidR="00E5391B">
        <w:rPr>
          <w:rFonts w:cstheme="minorHAnsi"/>
          <w:sz w:val="24"/>
          <w:szCs w:val="24"/>
        </w:rPr>
        <w:t xml:space="preserve"> 3 GB. </w:t>
      </w:r>
    </w:p>
    <w:p w14:paraId="5C13ACA8" w14:textId="77777777" w:rsidR="0067659C" w:rsidRPr="00355B14" w:rsidRDefault="0067659C" w:rsidP="0067659C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Szczegółowe informacje o zgłoszonych uwagach oraz stanowisku ministra właściwego do spraw informatyzacji wobec tych uwag zawarte zostały w tabelarycznym zestawieniu uwag zgł</w:t>
      </w:r>
      <w:r>
        <w:rPr>
          <w:rFonts w:cstheme="minorHAnsi"/>
          <w:sz w:val="24"/>
          <w:szCs w:val="24"/>
          <w:lang w:bidi="pl-PL"/>
        </w:rPr>
        <w:t xml:space="preserve">oszonych w ramach opiniowania </w:t>
      </w:r>
      <w:r w:rsidRPr="00355B14">
        <w:rPr>
          <w:rFonts w:cstheme="minorHAnsi"/>
          <w:sz w:val="24"/>
          <w:szCs w:val="24"/>
          <w:lang w:bidi="pl-PL"/>
        </w:rPr>
        <w:t>przedmiotowego projektu.</w:t>
      </w:r>
      <w:r w:rsidRPr="00355B14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79D3814B" w14:textId="77777777" w:rsidR="0067659C" w:rsidRDefault="0067659C" w:rsidP="0067659C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 w:rsidRPr="00355B14">
        <w:rPr>
          <w:rFonts w:cstheme="minorHAnsi"/>
          <w:sz w:val="24"/>
          <w:szCs w:val="24"/>
          <w:lang w:bidi="pl-PL"/>
        </w:rPr>
        <w:t>W procedurze opiniowania i konsultacji publicznych projektu ustawy wszystkim podmiotom umożliwiono zajęcie stanowiska w sprawie projektu, a także poddano analizie przedłożone przez te podmioty uwagi.</w:t>
      </w:r>
    </w:p>
    <w:p w14:paraId="0FB18F39" w14:textId="17C68B69" w:rsidR="00B257E2" w:rsidRPr="00355B14" w:rsidRDefault="00B257E2" w:rsidP="0067659C">
      <w:pPr>
        <w:spacing w:after="0" w:line="240" w:lineRule="auto"/>
        <w:jc w:val="both"/>
        <w:rPr>
          <w:rFonts w:cstheme="minorHAnsi"/>
          <w:sz w:val="24"/>
          <w:szCs w:val="24"/>
          <w:lang w:bidi="pl-PL"/>
        </w:rPr>
      </w:pPr>
      <w:r>
        <w:rPr>
          <w:rFonts w:cstheme="minorHAnsi"/>
          <w:sz w:val="24"/>
          <w:szCs w:val="24"/>
        </w:rPr>
        <w:t xml:space="preserve">Szczegółowe stanowisko MC oraz wyjaśnienia zostały przedstawione w zestawieniu </w:t>
      </w:r>
      <w:r w:rsidR="004E08FC">
        <w:rPr>
          <w:rFonts w:cstheme="minorHAnsi"/>
          <w:sz w:val="24"/>
          <w:szCs w:val="24"/>
        </w:rPr>
        <w:t>uwag do projektu rozporządzenia.</w:t>
      </w:r>
    </w:p>
    <w:p w14:paraId="42A2012B" w14:textId="77777777" w:rsidR="0067659C" w:rsidRPr="00F418C9" w:rsidRDefault="0067659C" w:rsidP="00F418C9">
      <w:pPr>
        <w:jc w:val="both"/>
        <w:rPr>
          <w:rFonts w:cstheme="minorHAnsi"/>
          <w:sz w:val="24"/>
          <w:szCs w:val="24"/>
        </w:rPr>
      </w:pPr>
    </w:p>
    <w:p w14:paraId="1113FAE9" w14:textId="08300B63" w:rsidR="003721FC" w:rsidRPr="00F418C9" w:rsidRDefault="00050C56" w:rsidP="00F418C9">
      <w:pPr>
        <w:jc w:val="both"/>
        <w:rPr>
          <w:rFonts w:cstheme="minorHAnsi"/>
          <w:b/>
          <w:sz w:val="24"/>
          <w:szCs w:val="24"/>
        </w:rPr>
      </w:pPr>
      <w:r w:rsidRPr="00F418C9">
        <w:rPr>
          <w:rFonts w:cstheme="minorHAnsi"/>
          <w:b/>
          <w:sz w:val="24"/>
          <w:szCs w:val="24"/>
        </w:rPr>
        <w:t>4.</w:t>
      </w:r>
      <w:r w:rsidRPr="00F418C9">
        <w:rPr>
          <w:rFonts w:cstheme="minorHAnsi"/>
          <w:sz w:val="24"/>
          <w:szCs w:val="24"/>
        </w:rPr>
        <w:t xml:space="preserve"> </w:t>
      </w:r>
      <w:r w:rsidRPr="00F418C9">
        <w:rPr>
          <w:rFonts w:cstheme="minorHAns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468D67CE" w14:textId="77777777" w:rsidR="00050C56" w:rsidRPr="00F418C9" w:rsidRDefault="00050C56" w:rsidP="003721FC">
      <w:pPr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lastRenderedPageBreak/>
        <w:t xml:space="preserve">Projekt </w:t>
      </w:r>
      <w:r w:rsidR="00D34269" w:rsidRPr="00F418C9">
        <w:rPr>
          <w:rFonts w:cstheme="minorHAnsi"/>
          <w:sz w:val="24"/>
          <w:szCs w:val="24"/>
        </w:rPr>
        <w:t>rozporządzenia</w:t>
      </w:r>
      <w:r w:rsidRPr="00F418C9">
        <w:rPr>
          <w:rFonts w:cstheme="minorHAnsi"/>
          <w:sz w:val="24"/>
          <w:szCs w:val="24"/>
        </w:rPr>
        <w:t xml:space="preserve"> </w:t>
      </w:r>
      <w:r w:rsidR="00AE7F15" w:rsidRPr="00F418C9">
        <w:rPr>
          <w:rFonts w:cstheme="minorHAnsi"/>
          <w:sz w:val="24"/>
          <w:szCs w:val="24"/>
        </w:rPr>
        <w:t xml:space="preserve">nie </w:t>
      </w:r>
      <w:r w:rsidRPr="00F418C9">
        <w:rPr>
          <w:rFonts w:cstheme="minorHAns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39D4154A" w14:textId="19E08FAB" w:rsidR="00050C56" w:rsidRPr="00F418C9" w:rsidRDefault="00050C56" w:rsidP="003721FC">
      <w:pPr>
        <w:jc w:val="both"/>
        <w:rPr>
          <w:rFonts w:cstheme="minorHAnsi"/>
          <w:b/>
          <w:sz w:val="24"/>
          <w:szCs w:val="24"/>
        </w:rPr>
      </w:pPr>
      <w:r w:rsidRPr="00F418C9">
        <w:rPr>
          <w:rFonts w:cstheme="minorHAns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</w:t>
      </w:r>
      <w:r w:rsidR="00D51B5E">
        <w:rPr>
          <w:rFonts w:cstheme="minorHAnsi"/>
          <w:b/>
          <w:sz w:val="24"/>
          <w:szCs w:val="24"/>
        </w:rPr>
        <w:t>zeń albo informację o ich braku</w:t>
      </w:r>
    </w:p>
    <w:p w14:paraId="18418E5A" w14:textId="5D4459EF" w:rsidR="00093716" w:rsidRPr="00F418C9" w:rsidRDefault="00050C56" w:rsidP="003721FC">
      <w:pPr>
        <w:jc w:val="both"/>
        <w:rPr>
          <w:rFonts w:cstheme="minorHAnsi"/>
          <w:sz w:val="24"/>
          <w:szCs w:val="24"/>
        </w:rPr>
      </w:pPr>
      <w:r w:rsidRPr="00F418C9">
        <w:rPr>
          <w:rFonts w:cstheme="minorHAns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F418C9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06B73" w14:textId="77777777" w:rsidR="00CC6EAB" w:rsidRDefault="00CC6EAB" w:rsidP="00CC6EAB">
      <w:pPr>
        <w:spacing w:after="0" w:line="240" w:lineRule="auto"/>
      </w:pPr>
      <w:r>
        <w:separator/>
      </w:r>
    </w:p>
  </w:endnote>
  <w:endnote w:type="continuationSeparator" w:id="0">
    <w:p w14:paraId="55C25BFA" w14:textId="77777777" w:rsidR="00CC6EAB" w:rsidRDefault="00CC6EAB" w:rsidP="00CC6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F4924" w14:textId="77777777" w:rsidR="00CC6EAB" w:rsidRDefault="00CC6EAB" w:rsidP="00CC6EAB">
      <w:pPr>
        <w:spacing w:after="0" w:line="240" w:lineRule="auto"/>
      </w:pPr>
      <w:r>
        <w:separator/>
      </w:r>
    </w:p>
  </w:footnote>
  <w:footnote w:type="continuationSeparator" w:id="0">
    <w:p w14:paraId="174EB82B" w14:textId="77777777" w:rsidR="00CC6EAB" w:rsidRDefault="00CC6EAB" w:rsidP="00CC6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3DA9"/>
    <w:multiLevelType w:val="hybridMultilevel"/>
    <w:tmpl w:val="C5B8D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1CA7B8">
      <w:start w:val="1"/>
      <w:numFmt w:val="decimal"/>
      <w:lvlText w:val="%2)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94046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67CDB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4" w15:restartNumberingAfterBreak="0">
    <w:nsid w:val="1F676ECC"/>
    <w:multiLevelType w:val="hybridMultilevel"/>
    <w:tmpl w:val="C010A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954A8"/>
    <w:multiLevelType w:val="hybridMultilevel"/>
    <w:tmpl w:val="D4C89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382A"/>
    <w:multiLevelType w:val="hybridMultilevel"/>
    <w:tmpl w:val="E092D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936A9"/>
    <w:multiLevelType w:val="hybridMultilevel"/>
    <w:tmpl w:val="14845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C0047"/>
    <w:multiLevelType w:val="hybridMultilevel"/>
    <w:tmpl w:val="A9A0E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51C84"/>
    <w:multiLevelType w:val="hybridMultilevel"/>
    <w:tmpl w:val="694AB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92B63DC"/>
    <w:multiLevelType w:val="hybridMultilevel"/>
    <w:tmpl w:val="5E5ED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F6DC6"/>
    <w:multiLevelType w:val="hybridMultilevel"/>
    <w:tmpl w:val="6C7651C4"/>
    <w:lvl w:ilvl="0" w:tplc="A86CD03E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517DD"/>
    <w:multiLevelType w:val="hybridMultilevel"/>
    <w:tmpl w:val="3D86B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96D5F"/>
    <w:multiLevelType w:val="hybridMultilevel"/>
    <w:tmpl w:val="44BC61A0"/>
    <w:lvl w:ilvl="0" w:tplc="A86CD03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79674B"/>
    <w:multiLevelType w:val="hybridMultilevel"/>
    <w:tmpl w:val="F0884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B6BDB"/>
    <w:multiLevelType w:val="hybridMultilevel"/>
    <w:tmpl w:val="AB5A3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18" w15:restartNumberingAfterBreak="0">
    <w:nsid w:val="658D0C9B"/>
    <w:multiLevelType w:val="hybridMultilevel"/>
    <w:tmpl w:val="76D0A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D27DA"/>
    <w:multiLevelType w:val="hybridMultilevel"/>
    <w:tmpl w:val="2430B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7"/>
  </w:num>
  <w:num w:numId="4">
    <w:abstractNumId w:val="19"/>
  </w:num>
  <w:num w:numId="5">
    <w:abstractNumId w:val="22"/>
  </w:num>
  <w:num w:numId="6">
    <w:abstractNumId w:val="20"/>
  </w:num>
  <w:num w:numId="7">
    <w:abstractNumId w:val="4"/>
  </w:num>
  <w:num w:numId="8">
    <w:abstractNumId w:val="1"/>
  </w:num>
  <w:num w:numId="9">
    <w:abstractNumId w:val="2"/>
  </w:num>
  <w:num w:numId="10">
    <w:abstractNumId w:val="5"/>
  </w:num>
  <w:num w:numId="11">
    <w:abstractNumId w:val="9"/>
  </w:num>
  <w:num w:numId="12">
    <w:abstractNumId w:val="7"/>
  </w:num>
  <w:num w:numId="13">
    <w:abstractNumId w:val="13"/>
  </w:num>
  <w:num w:numId="14">
    <w:abstractNumId w:val="11"/>
  </w:num>
  <w:num w:numId="15">
    <w:abstractNumId w:val="16"/>
  </w:num>
  <w:num w:numId="16">
    <w:abstractNumId w:val="18"/>
  </w:num>
  <w:num w:numId="17">
    <w:abstractNumId w:val="12"/>
  </w:num>
  <w:num w:numId="18">
    <w:abstractNumId w:val="14"/>
  </w:num>
  <w:num w:numId="19">
    <w:abstractNumId w:val="0"/>
  </w:num>
  <w:num w:numId="20">
    <w:abstractNumId w:val="8"/>
  </w:num>
  <w:num w:numId="21">
    <w:abstractNumId w:val="6"/>
  </w:num>
  <w:num w:numId="22">
    <w:abstractNumId w:val="15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48F6"/>
    <w:rsid w:val="00017B20"/>
    <w:rsid w:val="00023F2C"/>
    <w:rsid w:val="0002527C"/>
    <w:rsid w:val="00050C56"/>
    <w:rsid w:val="00067AE4"/>
    <w:rsid w:val="00073D9C"/>
    <w:rsid w:val="000774A3"/>
    <w:rsid w:val="00084B8C"/>
    <w:rsid w:val="00093716"/>
    <w:rsid w:val="000B178A"/>
    <w:rsid w:val="000E4C2E"/>
    <w:rsid w:val="000E672C"/>
    <w:rsid w:val="00101F3E"/>
    <w:rsid w:val="00112384"/>
    <w:rsid w:val="0012549A"/>
    <w:rsid w:val="001838CE"/>
    <w:rsid w:val="001C2F52"/>
    <w:rsid w:val="001D13A9"/>
    <w:rsid w:val="002C390C"/>
    <w:rsid w:val="002D057D"/>
    <w:rsid w:val="002E3AFB"/>
    <w:rsid w:val="00325C8B"/>
    <w:rsid w:val="00344915"/>
    <w:rsid w:val="00353D21"/>
    <w:rsid w:val="00367906"/>
    <w:rsid w:val="003721FC"/>
    <w:rsid w:val="00372D00"/>
    <w:rsid w:val="00385697"/>
    <w:rsid w:val="003A3CD3"/>
    <w:rsid w:val="003A7F0D"/>
    <w:rsid w:val="003C4B6B"/>
    <w:rsid w:val="003D4E9F"/>
    <w:rsid w:val="003E5A5E"/>
    <w:rsid w:val="00415D81"/>
    <w:rsid w:val="00481212"/>
    <w:rsid w:val="0048271C"/>
    <w:rsid w:val="00491D95"/>
    <w:rsid w:val="00496AAA"/>
    <w:rsid w:val="004B332B"/>
    <w:rsid w:val="004B761B"/>
    <w:rsid w:val="004D00A8"/>
    <w:rsid w:val="004E08FC"/>
    <w:rsid w:val="00563288"/>
    <w:rsid w:val="005A5634"/>
    <w:rsid w:val="005B28D9"/>
    <w:rsid w:val="005D0DEF"/>
    <w:rsid w:val="00606104"/>
    <w:rsid w:val="00617EA9"/>
    <w:rsid w:val="00634703"/>
    <w:rsid w:val="00645012"/>
    <w:rsid w:val="00646235"/>
    <w:rsid w:val="006733E0"/>
    <w:rsid w:val="0067659C"/>
    <w:rsid w:val="006A13EA"/>
    <w:rsid w:val="006A5DE9"/>
    <w:rsid w:val="006C571A"/>
    <w:rsid w:val="00732E65"/>
    <w:rsid w:val="00741DE3"/>
    <w:rsid w:val="00746EFE"/>
    <w:rsid w:val="00760836"/>
    <w:rsid w:val="00774C8A"/>
    <w:rsid w:val="007A71CB"/>
    <w:rsid w:val="007D588E"/>
    <w:rsid w:val="007F116C"/>
    <w:rsid w:val="007F2203"/>
    <w:rsid w:val="008027AC"/>
    <w:rsid w:val="00804573"/>
    <w:rsid w:val="00856F51"/>
    <w:rsid w:val="00884DCF"/>
    <w:rsid w:val="008B1DCB"/>
    <w:rsid w:val="008E62F4"/>
    <w:rsid w:val="00930E1D"/>
    <w:rsid w:val="00994159"/>
    <w:rsid w:val="009E536B"/>
    <w:rsid w:val="009F448A"/>
    <w:rsid w:val="00A0591D"/>
    <w:rsid w:val="00A212AF"/>
    <w:rsid w:val="00A61444"/>
    <w:rsid w:val="00A63180"/>
    <w:rsid w:val="00A848FD"/>
    <w:rsid w:val="00AD2595"/>
    <w:rsid w:val="00AE7F15"/>
    <w:rsid w:val="00B0169F"/>
    <w:rsid w:val="00B257E2"/>
    <w:rsid w:val="00B608CA"/>
    <w:rsid w:val="00B72A01"/>
    <w:rsid w:val="00B7378C"/>
    <w:rsid w:val="00BA2FAA"/>
    <w:rsid w:val="00BB119D"/>
    <w:rsid w:val="00BC599C"/>
    <w:rsid w:val="00BD0719"/>
    <w:rsid w:val="00BF2BFA"/>
    <w:rsid w:val="00C272F8"/>
    <w:rsid w:val="00C82227"/>
    <w:rsid w:val="00CC06F2"/>
    <w:rsid w:val="00CC678E"/>
    <w:rsid w:val="00CC6EAB"/>
    <w:rsid w:val="00D11B21"/>
    <w:rsid w:val="00D34269"/>
    <w:rsid w:val="00D51B5E"/>
    <w:rsid w:val="00D56FA3"/>
    <w:rsid w:val="00D76FA5"/>
    <w:rsid w:val="00D82B8E"/>
    <w:rsid w:val="00D83930"/>
    <w:rsid w:val="00D8516D"/>
    <w:rsid w:val="00D92297"/>
    <w:rsid w:val="00D92B0B"/>
    <w:rsid w:val="00D934C6"/>
    <w:rsid w:val="00E255F9"/>
    <w:rsid w:val="00E26D15"/>
    <w:rsid w:val="00E315A3"/>
    <w:rsid w:val="00E3519D"/>
    <w:rsid w:val="00E5391B"/>
    <w:rsid w:val="00E61272"/>
    <w:rsid w:val="00E73061"/>
    <w:rsid w:val="00E74887"/>
    <w:rsid w:val="00EB41E8"/>
    <w:rsid w:val="00EE0462"/>
    <w:rsid w:val="00F418C9"/>
    <w:rsid w:val="00F5754E"/>
    <w:rsid w:val="00F64845"/>
    <w:rsid w:val="00FA1664"/>
    <w:rsid w:val="00FA63E1"/>
    <w:rsid w:val="00FB188B"/>
    <w:rsid w:val="00FC1947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CC5C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6E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E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6EA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257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24FCD-FBF0-4A79-8CDB-74C33F90E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Wilk Anna</cp:lastModifiedBy>
  <cp:revision>7</cp:revision>
  <cp:lastPrinted>2018-04-11T20:28:00Z</cp:lastPrinted>
  <dcterms:created xsi:type="dcterms:W3CDTF">2021-04-13T12:12:00Z</dcterms:created>
  <dcterms:modified xsi:type="dcterms:W3CDTF">2021-05-11T14:58:00Z</dcterms:modified>
</cp:coreProperties>
</file>